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14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w:rsidR="00E37DEF" w:rsidRPr="00E37DEF" w:rsidRDefault="00E37DEF" w:rsidP="00E37DEF">
      <w:pPr>
        <w:tabs>
          <w:tab w:val="left" w:pos="142"/>
        </w:tabs>
        <w:spacing w:before="120" w:after="120" w:line="240" w:lineRule="auto"/>
        <w:jc w:val="both"/>
        <w:rPr>
          <w:rFonts w:ascii="gobCL" w:eastAsia="Times New Roman" w:hAnsi="gobCL" w:cs="Arial"/>
          <w:sz w:val="20"/>
          <w:szCs w:val="20"/>
          <w:lang w:val="es-ES" w:eastAsia="es-ES"/>
        </w:rPr>
      </w:pP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Para este concurso </w:t>
      </w:r>
      <w:r w:rsidRPr="00E37DEF">
        <w:rPr>
          <w:rFonts w:ascii="gobCL" w:eastAsia="Times New Roman" w:hAnsi="gobCL" w:cs="Arial"/>
          <w:b/>
          <w:sz w:val="20"/>
          <w:szCs w:val="20"/>
          <w:lang w:val="es-ES" w:eastAsia="es-ES"/>
        </w:rPr>
        <w:t>NO</w:t>
      </w:r>
      <w:r w:rsidRPr="00E37DEF">
        <w:rPr>
          <w:rFonts w:ascii="gobCL" w:eastAsia="Times New Roman" w:hAnsi="gobCL" w:cs="Arial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w:rsidR="00E37DEF" w:rsidRPr="00E37DEF" w:rsidRDefault="00E37DEF" w:rsidP="00E37DEF">
      <w:pPr>
        <w:ind w:left="360" w:hanging="360"/>
        <w:contextualSpacing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1791"/>
        <w:gridCol w:w="1710"/>
        <w:gridCol w:w="1959"/>
        <w:gridCol w:w="1959"/>
        <w:gridCol w:w="1959"/>
      </w:tblGrid>
      <w:tr w:rsidR="00E37DEF" w:rsidRPr="00E37DEF" w:rsidTr="00E37DEF">
        <w:trPr>
          <w:trHeight w:val="1559"/>
        </w:trPr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  <w:t>Tipos de residuos a reciclar</w:t>
            </w:r>
          </w:p>
          <w:p w:rsidR="00E37DEF" w:rsidRPr="00E37DEF" w:rsidRDefault="00E37DEF" w:rsidP="00E37DEF">
            <w:pPr>
              <w:tabs>
                <w:tab w:val="left" w:pos="142"/>
              </w:tabs>
              <w:spacing w:after="0" w:line="240" w:lineRule="auto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Responsable del retiro de material acopiado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2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</w:pPr>
      <w:r w:rsidRPr="00E37DEF">
        <w:rPr>
          <w:rFonts w:ascii="gobCL" w:eastAsia="Times New Roman" w:hAnsi="gobCL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w:rsidR="00E37DEF" w:rsidRPr="00E37DEF" w:rsidRDefault="00E37DEF" w:rsidP="00E37DEF">
      <w:pPr>
        <w:spacing w:before="120" w:after="120" w:line="240" w:lineRule="auto"/>
        <w:jc w:val="both"/>
        <w:rPr>
          <w:rFonts w:ascii="gobCL" w:eastAsia="Times New Roman" w:hAnsi="gobCL" w:cs="Times New Roman"/>
          <w:szCs w:val="20"/>
          <w:lang w:val="es-ES" w:eastAsia="es-ES"/>
        </w:rPr>
      </w:pPr>
    </w:p>
    <w:p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8"/>
        <w:gridCol w:w="6495"/>
      </w:tblGrid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E37DEF">
              <w:rPr>
                <w:rFonts w:ascii="gobCL" w:eastAsia="Times New Roman" w:hAnsi="gobCL" w:cs="Times New Roman"/>
                <w:color w:val="0070C0"/>
                <w:sz w:val="14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ind w:left="360" w:hanging="360"/>
        <w:contextualSpacing/>
        <w:rPr>
          <w:rFonts w:ascii="gobCL" w:eastAsia="Times New Roman" w:hAnsi="gobCL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8"/>
        <w:gridCol w:w="6495"/>
      </w:tblGrid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  <w:tr w:rsidR="00E37DEF" w:rsidRPr="00E37DEF" w:rsidTr="00E37DEF">
        <w:tc>
          <w:tcPr>
            <w:tcW w:w="17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 w:themeFill="accent3" w:themeFillTint="66"/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eastAsia="Times New Roman" w:hAnsi="gobCL" w:cs="Times New Roman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</w:tc>
        <w:tc>
          <w:tcPr>
            <w:tcW w:w="32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7DEF" w:rsidRPr="00E37DEF" w:rsidRDefault="00E37DEF" w:rsidP="00E37DEF">
            <w:pPr>
              <w:spacing w:before="120" w:after="120" w:line="240" w:lineRule="auto"/>
              <w:jc w:val="both"/>
              <w:rPr>
                <w:rFonts w:ascii="gobCL" w:eastAsia="Times New Roman" w:hAnsi="gobCL" w:cs="Arial"/>
                <w:sz w:val="20"/>
                <w:szCs w:val="20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ind w:left="360" w:hanging="360"/>
        <w:contextualSpacing/>
        <w:rPr>
          <w:rFonts w:ascii="Arial" w:eastAsia="Times New Roman" w:hAnsi="Arial" w:cs="Times New Roman"/>
          <w:i/>
          <w:iCs/>
          <w:sz w:val="18"/>
          <w:szCs w:val="20"/>
          <w:lang w:val="es-ES" w:eastAsia="es-ES"/>
        </w:rPr>
      </w:pPr>
    </w:p>
    <w:p w:rsidR="00625413" w:rsidRPr="00E37DEF" w:rsidRDefault="0062541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bookmarkStart w:id="0" w:name="_GoBack"/>
      <w:bookmarkEnd w:id="0"/>
    </w:p>
    <w:sectPr w:rsidR="00625413" w:rsidRPr="00E37DEF" w:rsidSect="009D1163">
      <w:headerReference w:type="default" r:id="rId9"/>
      <w:footerReference w:type="default" r:id="rId10"/>
      <w:type w:val="continuous"/>
      <w:pgSz w:w="12240" w:h="15840" w:code="1"/>
      <w:pgMar w:top="1418" w:right="11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1" w:rsidRDefault="00DC1321" w:rsidP="00A07836">
      <w:pPr>
        <w:spacing w:after="0" w:line="240" w:lineRule="auto"/>
      </w:pPr>
      <w:r>
        <w:separator/>
      </w:r>
    </w:p>
  </w:endnote>
  <w:end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9D1163" w:rsidRPr="009D1163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1" w:rsidRDefault="00DC1321" w:rsidP="00A07836">
      <w:pPr>
        <w:spacing w:after="0" w:line="240" w:lineRule="auto"/>
      </w:pPr>
      <w:r>
        <w:separator/>
      </w:r>
    </w:p>
  </w:footnote>
  <w:foot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1163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A9E8-167A-450F-819B-F0ADDF7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7</cp:revision>
  <cp:lastPrinted>2019-08-09T23:17:00Z</cp:lastPrinted>
  <dcterms:created xsi:type="dcterms:W3CDTF">2019-08-12T21:15:00Z</dcterms:created>
  <dcterms:modified xsi:type="dcterms:W3CDTF">2019-08-12T23:16:00Z</dcterms:modified>
</cp:coreProperties>
</file>