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F" w:rsidRPr="00E37DEF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bookmarkStart w:id="0" w:name="_GoBack"/>
      <w:bookmarkEnd w:id="0"/>
      <w:r w:rsidRPr="00E37DEF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 xml:space="preserve">Anexo </w:t>
      </w:r>
      <w:r w:rsidR="00B94134" w:rsidRPr="00E37DEF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1</w:t>
      </w:r>
      <w:r w:rsidR="00B94134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5</w:t>
      </w:r>
    </w:p>
    <w:p w:rsidR="00E37DEF" w:rsidRPr="00E37DEF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r w:rsidRPr="00E37DEF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ESTRATEGIA GESTIÓN DE RECICLAJE</w:t>
      </w:r>
    </w:p>
    <w:p w:rsidR="00E37DEF" w:rsidRPr="00E37DEF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</w:p>
    <w:p w:rsidR="00E37DEF" w:rsidRPr="00E37DEF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ascii="gobCL" w:eastAsia="Times New Roman" w:hAnsi="gobCL" w:cs="Arial"/>
          <w:sz w:val="20"/>
          <w:szCs w:val="20"/>
          <w:lang w:val="es-ES" w:eastAsia="es-ES"/>
        </w:rPr>
      </w:pPr>
      <w:r w:rsidRPr="00E37DEF">
        <w:rPr>
          <w:rFonts w:ascii="gobCL" w:eastAsia="Times New Roman" w:hAnsi="gobCL" w:cs="Arial"/>
          <w:sz w:val="20"/>
          <w:szCs w:val="20"/>
          <w:lang w:val="es-ES" w:eastAsia="es-ES"/>
        </w:rPr>
        <w:t>Solo se debe considerar residuos que presenten instalaciones de recepción y almacenamiento, para su posterior comercialización, próximos al lugar de ubicación al Punto Verde.</w:t>
      </w:r>
    </w:p>
    <w:p w:rsidR="00E37DEF" w:rsidRPr="00E37DEF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ascii="gobCL" w:eastAsia="Times New Roman" w:hAnsi="gobCL" w:cs="Arial"/>
          <w:sz w:val="20"/>
          <w:szCs w:val="20"/>
          <w:lang w:val="es-ES" w:eastAsia="es-ES"/>
        </w:rPr>
      </w:pPr>
      <w:r w:rsidRPr="00E37DEF">
        <w:rPr>
          <w:rFonts w:ascii="gobCL" w:eastAsia="Times New Roman" w:hAnsi="gobCL" w:cs="Arial"/>
          <w:sz w:val="20"/>
          <w:szCs w:val="20"/>
          <w:lang w:val="es-ES" w:eastAsia="es-ES"/>
        </w:rPr>
        <w:t xml:space="preserve">Para este concurso </w:t>
      </w:r>
      <w:r w:rsidRPr="00E37DEF">
        <w:rPr>
          <w:rFonts w:ascii="gobCL" w:eastAsia="Times New Roman" w:hAnsi="gobCL" w:cs="Arial"/>
          <w:b/>
          <w:sz w:val="20"/>
          <w:szCs w:val="20"/>
          <w:lang w:val="es-ES" w:eastAsia="es-ES"/>
        </w:rPr>
        <w:t>NO</w:t>
      </w:r>
      <w:r w:rsidRPr="00E37DEF">
        <w:rPr>
          <w:rFonts w:ascii="gobCL" w:eastAsia="Times New Roman" w:hAnsi="gobCL" w:cs="Arial"/>
          <w:sz w:val="20"/>
          <w:szCs w:val="20"/>
          <w:lang w:val="es-ES" w:eastAsia="es-ES"/>
        </w:rPr>
        <w:t xml:space="preserve"> podrán seleccionar residuos de carácter peligrosos como: baterías, pilas, aceites o medicamentos. </w:t>
      </w:r>
    </w:p>
    <w:p w:rsidR="00E37DEF" w:rsidRPr="00E37DEF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"/>
        <w:gridCol w:w="1792"/>
        <w:gridCol w:w="1711"/>
        <w:gridCol w:w="1959"/>
        <w:gridCol w:w="1959"/>
        <w:gridCol w:w="1959"/>
      </w:tblGrid>
      <w:tr w:rsidR="00E37DEF" w:rsidRPr="00E37DEF" w:rsidTr="00E37DEF">
        <w:trPr>
          <w:trHeight w:val="1559"/>
        </w:trPr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  <w:t>Tipos de residuos a reciclar</w:t>
            </w:r>
          </w:p>
          <w:p w:rsidR="00E37DEF" w:rsidRPr="00E37DEF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(Ejemplo: papel, cartón, plástico, metal (lata de aluminio), vidrio, etc.</w:t>
            </w: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 xml:space="preserve">Cantidad Estimada de Acopio </w:t>
            </w:r>
          </w:p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(por semana en kilos)</w:t>
            </w: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Frecuencia de retiro del residuo</w:t>
            </w: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Responsable del retiro de material acopiado</w:t>
            </w:r>
          </w:p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(Ejemplo: Reciclador de Base, Municipio o Empresa de Recuperación y Reciclaje, entre otros.)</w:t>
            </w: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Lugar autorizado, para la disposición y almacenamiento del residuo</w:t>
            </w:r>
          </w:p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(Donde va a ir el residuo una vez que sea retirado del punto verde).</w:t>
            </w:r>
          </w:p>
        </w:tc>
      </w:tr>
      <w:tr w:rsidR="00E37DEF" w:rsidRPr="00E37DEF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37DEF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37DEF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37DEF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4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37DEF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5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E37DEF" w:rsidRPr="00E37DEF" w:rsidRDefault="00E37DEF" w:rsidP="00E37DEF">
      <w:pPr>
        <w:spacing w:before="120" w:after="120" w:line="240" w:lineRule="auto"/>
        <w:jc w:val="both"/>
        <w:rPr>
          <w:rFonts w:ascii="gobCL" w:eastAsia="Times New Roman" w:hAnsi="gobCL" w:cs="Times New Roman"/>
          <w:i/>
          <w:color w:val="FF0000"/>
          <w:sz w:val="12"/>
          <w:szCs w:val="20"/>
          <w:lang w:val="es-ES" w:eastAsia="es-ES"/>
        </w:rPr>
      </w:pPr>
      <w:r w:rsidRPr="00E37DEF">
        <w:rPr>
          <w:rFonts w:ascii="gobCL" w:eastAsia="Times New Roman" w:hAnsi="gobCL" w:cs="Times New Roman"/>
          <w:i/>
          <w:color w:val="FF0000"/>
          <w:sz w:val="12"/>
          <w:szCs w:val="20"/>
          <w:lang w:val="es-ES" w:eastAsia="es-ES"/>
        </w:rPr>
        <w:t>(Agregar o eliminar las filas que sean necesarias)</w:t>
      </w:r>
    </w:p>
    <w:p w:rsidR="00E37DEF" w:rsidRPr="00E37DEF" w:rsidRDefault="00E37DEF" w:rsidP="00E37DEF">
      <w:pPr>
        <w:spacing w:before="120" w:after="120" w:line="240" w:lineRule="auto"/>
        <w:jc w:val="both"/>
        <w:rPr>
          <w:rFonts w:ascii="gobCL" w:eastAsia="Times New Roman" w:hAnsi="gobCL" w:cs="Times New Roman"/>
          <w:szCs w:val="20"/>
          <w:lang w:val="es-ES" w:eastAsia="es-ES"/>
        </w:rPr>
      </w:pPr>
    </w:p>
    <w:p w:rsidR="00E37DEF" w:rsidRPr="00E37DEF" w:rsidRDefault="00E37DEF" w:rsidP="00E37DEF">
      <w:pPr>
        <w:ind w:left="360" w:hanging="360"/>
        <w:contextualSpacing/>
        <w:rPr>
          <w:rFonts w:ascii="gobCL" w:eastAsia="Times New Roman" w:hAnsi="gobCL" w:cs="Times New Roman"/>
          <w:color w:val="0070C0"/>
          <w:sz w:val="18"/>
          <w:szCs w:val="20"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9"/>
        <w:gridCol w:w="6496"/>
      </w:tblGrid>
      <w:tr w:rsidR="00E37DEF" w:rsidRPr="00E37DEF" w:rsidTr="00E37DEF">
        <w:tc>
          <w:tcPr>
            <w:tcW w:w="17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  <w:t xml:space="preserve">Responsable para vigilar u ordenar el punto verde </w:t>
            </w: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(cuando los residuos no estuvieran debidamente acopiados en los contenedores por los usuarios).</w:t>
            </w:r>
          </w:p>
        </w:tc>
        <w:tc>
          <w:tcPr>
            <w:tcW w:w="32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</w:p>
        </w:tc>
      </w:tr>
    </w:tbl>
    <w:p w:rsidR="00E37DEF" w:rsidRPr="00E37DEF" w:rsidRDefault="00E37DEF" w:rsidP="00E37DEF">
      <w:pPr>
        <w:ind w:left="360" w:hanging="360"/>
        <w:contextualSpacing/>
        <w:rPr>
          <w:rFonts w:ascii="gobCL" w:eastAsia="Times New Roman" w:hAnsi="gobCL" w:cs="Times New Roman"/>
          <w:color w:val="0070C0"/>
          <w:sz w:val="18"/>
          <w:szCs w:val="20"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9"/>
        <w:gridCol w:w="6496"/>
      </w:tblGrid>
      <w:tr w:rsidR="00E37DEF" w:rsidRPr="00E37DEF" w:rsidTr="00E37DEF">
        <w:tc>
          <w:tcPr>
            <w:tcW w:w="17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  <w:t xml:space="preserve">Responsable de aseo </w:t>
            </w:r>
          </w:p>
        </w:tc>
        <w:tc>
          <w:tcPr>
            <w:tcW w:w="32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</w:p>
        </w:tc>
      </w:tr>
      <w:tr w:rsidR="00E37DEF" w:rsidRPr="00E37DEF" w:rsidTr="00E37DEF">
        <w:tc>
          <w:tcPr>
            <w:tcW w:w="17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  <w:t xml:space="preserve">Indicar frecuencia de limpieza </w:t>
            </w:r>
          </w:p>
        </w:tc>
        <w:tc>
          <w:tcPr>
            <w:tcW w:w="32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</w:p>
        </w:tc>
      </w:tr>
    </w:tbl>
    <w:p w:rsidR="00E37DEF" w:rsidRPr="00E37DEF" w:rsidRDefault="00E37DEF" w:rsidP="00E37DEF">
      <w:pPr>
        <w:ind w:left="360" w:hanging="360"/>
        <w:contextualSpacing/>
        <w:rPr>
          <w:rFonts w:ascii="Arial" w:eastAsia="Times New Roman" w:hAnsi="Arial" w:cs="Times New Roman"/>
          <w:i/>
          <w:iCs/>
          <w:sz w:val="18"/>
          <w:szCs w:val="20"/>
          <w:lang w:val="es-ES" w:eastAsia="es-ES"/>
        </w:rPr>
      </w:pPr>
    </w:p>
    <w:p w:rsidR="00625413" w:rsidRPr="00E37DEF" w:rsidRDefault="00625413">
      <w:pPr>
        <w:spacing w:after="0" w:line="24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sectPr w:rsidR="00625413" w:rsidRPr="00E37DEF" w:rsidSect="00A47BDA">
      <w:headerReference w:type="default" r:id="rId9"/>
      <w:footerReference w:type="default" r:id="rId10"/>
      <w:type w:val="continuous"/>
      <w:pgSz w:w="12240" w:h="15840" w:code="1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21" w:rsidRDefault="00DC1321" w:rsidP="00A07836">
      <w:pPr>
        <w:spacing w:after="0" w:line="240" w:lineRule="auto"/>
      </w:pPr>
      <w:r>
        <w:separator/>
      </w:r>
    </w:p>
  </w:endnote>
  <w:endnote w:type="continuationSeparator" w:id="0">
    <w:p w:rsidR="00DC1321" w:rsidRDefault="00DC1321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22879"/>
      <w:docPartObj>
        <w:docPartGallery w:val="Page Numbers (Bottom of Page)"/>
        <w:docPartUnique/>
      </w:docPartObj>
    </w:sdtPr>
    <w:sdtEndPr/>
    <w:sdtContent>
      <w:p w:rsidR="003F3B7F" w:rsidRDefault="003F3B7F">
        <w:pPr>
          <w:pStyle w:val="Piedepgina"/>
          <w:jc w:val="right"/>
        </w:pPr>
        <w:r w:rsidRPr="003F3B7F">
          <w:rPr>
            <w:rFonts w:ascii="gobCL" w:hAnsi="gobCL"/>
            <w:color w:val="0070C0"/>
            <w:sz w:val="20"/>
          </w:rPr>
          <w:fldChar w:fldCharType="begin"/>
        </w:r>
        <w:r w:rsidRPr="003F3B7F">
          <w:rPr>
            <w:rFonts w:ascii="gobCL" w:hAnsi="gobCL"/>
            <w:color w:val="0070C0"/>
            <w:sz w:val="20"/>
          </w:rPr>
          <w:instrText>PAGE   \* MERGEFORMAT</w:instrText>
        </w:r>
        <w:r w:rsidRPr="003F3B7F">
          <w:rPr>
            <w:rFonts w:ascii="gobCL" w:hAnsi="gobCL"/>
            <w:color w:val="0070C0"/>
            <w:sz w:val="20"/>
          </w:rPr>
          <w:fldChar w:fldCharType="separate"/>
        </w:r>
        <w:r w:rsidR="00A47BDA" w:rsidRPr="00A47BDA">
          <w:rPr>
            <w:rFonts w:ascii="gobCL" w:hAnsi="gobCL"/>
            <w:noProof/>
            <w:color w:val="0070C0"/>
            <w:sz w:val="20"/>
            <w:lang w:val="es-ES"/>
          </w:rPr>
          <w:t>1</w:t>
        </w:r>
        <w:r w:rsidRPr="003F3B7F">
          <w:rPr>
            <w:rFonts w:ascii="gobCL" w:hAnsi="gobCL"/>
            <w:color w:val="0070C0"/>
            <w:sz w:val="20"/>
          </w:rPr>
          <w:fldChar w:fldCharType="end"/>
        </w:r>
      </w:p>
    </w:sdtContent>
  </w:sdt>
  <w:p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21" w:rsidRDefault="00DC1321" w:rsidP="00A07836">
      <w:pPr>
        <w:spacing w:after="0" w:line="240" w:lineRule="auto"/>
      </w:pPr>
      <w:r>
        <w:separator/>
      </w:r>
    </w:p>
  </w:footnote>
  <w:footnote w:type="continuationSeparator" w:id="0">
    <w:p w:rsidR="00DC1321" w:rsidRDefault="00DC1321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13" w:rsidRPr="003431B2" w:rsidRDefault="00625413" w:rsidP="00E37DEF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2020</w:t>
    </w:r>
  </w:p>
  <w:p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3F40"/>
    <w:rsid w:val="000B5044"/>
    <w:rsid w:val="000B5089"/>
    <w:rsid w:val="000B69C1"/>
    <w:rsid w:val="000C5FFA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96C81"/>
    <w:rsid w:val="001A1875"/>
    <w:rsid w:val="001A451C"/>
    <w:rsid w:val="001A47AB"/>
    <w:rsid w:val="001A4BA5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C7106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49B7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4372"/>
    <w:rsid w:val="0065579A"/>
    <w:rsid w:val="00661000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47BDA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4134"/>
    <w:rsid w:val="00B963F3"/>
    <w:rsid w:val="00BA02ED"/>
    <w:rsid w:val="00BA27EE"/>
    <w:rsid w:val="00BA5D50"/>
    <w:rsid w:val="00BB010A"/>
    <w:rsid w:val="00BB3119"/>
    <w:rsid w:val="00BC0911"/>
    <w:rsid w:val="00BC218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49CC"/>
    <w:rsid w:val="00E46FA4"/>
    <w:rsid w:val="00E5493A"/>
    <w:rsid w:val="00E604E1"/>
    <w:rsid w:val="00E64D9C"/>
    <w:rsid w:val="00E66246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F494-54EC-4615-8DC8-1E037CF9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Hugo Cabrera Navarrete</cp:lastModifiedBy>
  <cp:revision>7</cp:revision>
  <cp:lastPrinted>2019-08-09T23:17:00Z</cp:lastPrinted>
  <dcterms:created xsi:type="dcterms:W3CDTF">2019-08-12T21:15:00Z</dcterms:created>
  <dcterms:modified xsi:type="dcterms:W3CDTF">2019-08-12T23:10:00Z</dcterms:modified>
</cp:coreProperties>
</file>